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61" w:rsidRDefault="00DD1961" w:rsidP="00DD1961">
      <w:pPr>
        <w:pStyle w:val="Heading1"/>
        <w:spacing w:before="88"/>
        <w:ind w:firstLine="1"/>
      </w:pPr>
      <w:r>
        <w:t>GUJARAT UNIVERSITY SYLLABUS FOR T.Y.B.B.A. SEMESTER VI</w:t>
      </w:r>
    </w:p>
    <w:p w:rsidR="00DD1961" w:rsidRDefault="00DD1961" w:rsidP="00DD1961">
      <w:pPr>
        <w:ind w:left="4072" w:right="3712" w:firstLine="1"/>
        <w:jc w:val="center"/>
        <w:rPr>
          <w:b/>
          <w:sz w:val="28"/>
        </w:rPr>
      </w:pPr>
      <w:r>
        <w:rPr>
          <w:b/>
          <w:sz w:val="28"/>
        </w:rPr>
        <w:t>COURSE CODE-308 INDUSTRIAL LAWS</w:t>
      </w:r>
    </w:p>
    <w:p w:rsidR="00DD1961" w:rsidRDefault="00DD1961" w:rsidP="00DD1961">
      <w:pPr>
        <w:pStyle w:val="BodyText"/>
        <w:spacing w:before="10"/>
        <w:rPr>
          <w:b/>
          <w:sz w:val="27"/>
        </w:rPr>
      </w:pPr>
    </w:p>
    <w:p w:rsidR="00DD1961" w:rsidRDefault="00DD1961" w:rsidP="00DD1961">
      <w:pPr>
        <w:pStyle w:val="Heading2"/>
        <w:spacing w:before="1" w:line="275" w:lineRule="exact"/>
      </w:pPr>
      <w:r>
        <w:t>Introduction:</w:t>
      </w:r>
    </w:p>
    <w:p w:rsidR="00DD1961" w:rsidRDefault="00DD1961" w:rsidP="00DD1961">
      <w:pPr>
        <w:pStyle w:val="BodyText"/>
        <w:ind w:left="720" w:right="356"/>
        <w:jc w:val="both"/>
      </w:pPr>
      <w:r>
        <w:t xml:space="preserve">To create awareness amongst student for Industrial laws </w:t>
      </w:r>
      <w:proofErr w:type="gramStart"/>
      <w:r>
        <w:t xml:space="preserve">which helps in creating and maintaining transparent business policies in dealing with </w:t>
      </w:r>
      <w:proofErr w:type="spellStart"/>
      <w:r>
        <w:t>labours</w:t>
      </w:r>
      <w:proofErr w:type="spellEnd"/>
      <w:r>
        <w:t>.</w:t>
      </w:r>
      <w:proofErr w:type="gramEnd"/>
      <w:r>
        <w:t xml:space="preserve"> Harmonious relationship with management and </w:t>
      </w:r>
      <w:proofErr w:type="spellStart"/>
      <w:r>
        <w:t>labour</w:t>
      </w:r>
      <w:proofErr w:type="spellEnd"/>
      <w:r>
        <w:t xml:space="preserve"> and employer is necessary to maintain steady growth of the nation as well as institute.</w:t>
      </w:r>
    </w:p>
    <w:p w:rsidR="00DD1961" w:rsidRDefault="00DD1961" w:rsidP="00DD1961">
      <w:pPr>
        <w:pStyle w:val="BodyText"/>
        <w:rPr>
          <w:sz w:val="28"/>
        </w:rPr>
      </w:pPr>
    </w:p>
    <w:p w:rsidR="00DD1961" w:rsidRDefault="00DD1961" w:rsidP="00DD1961">
      <w:pPr>
        <w:pStyle w:val="Heading2"/>
        <w:spacing w:line="275" w:lineRule="exact"/>
      </w:pPr>
      <w:r>
        <w:t>Objectives:</w:t>
      </w:r>
    </w:p>
    <w:p w:rsidR="00DD1961" w:rsidRDefault="00DD1961" w:rsidP="00DD1961">
      <w:pPr>
        <w:pStyle w:val="BodyText"/>
        <w:ind w:left="720"/>
      </w:pPr>
      <w:proofErr w:type="gramStart"/>
      <w:r>
        <w:t xml:space="preserve">To gain knowledge of various Industrial Laws and also understand the application of Industrial </w:t>
      </w:r>
      <w:proofErr w:type="spellStart"/>
      <w:r>
        <w:t>lawsto</w:t>
      </w:r>
      <w:proofErr w:type="spellEnd"/>
      <w:r>
        <w:t xml:space="preserve"> practical situations.</w:t>
      </w:r>
      <w:proofErr w:type="gramEnd"/>
    </w:p>
    <w:p w:rsidR="00DD1961" w:rsidRDefault="00DD1961" w:rsidP="00DD1961">
      <w:pPr>
        <w:pStyle w:val="BodyText"/>
        <w:ind w:left="720"/>
      </w:pPr>
      <w:proofErr w:type="gramStart"/>
      <w:r>
        <w:t xml:space="preserve">To acquaint students from various </w:t>
      </w:r>
      <w:proofErr w:type="spellStart"/>
      <w:r>
        <w:t>labour</w:t>
      </w:r>
      <w:proofErr w:type="spellEnd"/>
      <w:r>
        <w:t xml:space="preserve"> laws.</w:t>
      </w:r>
      <w:proofErr w:type="gramEnd"/>
    </w:p>
    <w:p w:rsidR="00DD1961" w:rsidRDefault="00DD1961" w:rsidP="00DD1961">
      <w:pPr>
        <w:pStyle w:val="Heading2"/>
        <w:tabs>
          <w:tab w:val="left" w:pos="2345"/>
        </w:tabs>
        <w:spacing w:before="1"/>
        <w:ind w:right="7398"/>
      </w:pPr>
      <w:r>
        <w:t>Total</w:t>
      </w:r>
      <w:r>
        <w:rPr>
          <w:spacing w:val="-4"/>
        </w:rPr>
        <w:t xml:space="preserve"> </w:t>
      </w:r>
      <w:r>
        <w:t>Hours:</w:t>
      </w:r>
      <w:r>
        <w:tab/>
        <w:t xml:space="preserve">40 Number </w:t>
      </w:r>
      <w:proofErr w:type="gramStart"/>
      <w:r>
        <w:t>Of</w:t>
      </w:r>
      <w:proofErr w:type="gramEnd"/>
      <w:r>
        <w:t xml:space="preserve"> Credits: </w:t>
      </w:r>
      <w:r>
        <w:rPr>
          <w:spacing w:val="-12"/>
        </w:rPr>
        <w:t xml:space="preserve">3 </w:t>
      </w:r>
      <w:r>
        <w:t>Lectures Per Week:</w:t>
      </w:r>
      <w:r>
        <w:rPr>
          <w:spacing w:val="52"/>
        </w:rPr>
        <w:t xml:space="preserve"> </w:t>
      </w:r>
      <w:r>
        <w:t>3</w:t>
      </w:r>
    </w:p>
    <w:p w:rsidR="00DD1961" w:rsidRDefault="00DD1961" w:rsidP="00DD1961">
      <w:pPr>
        <w:pStyle w:val="BodyText"/>
        <w:rPr>
          <w:b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3323"/>
        <w:gridCol w:w="1835"/>
        <w:gridCol w:w="1315"/>
      </w:tblGrid>
      <w:tr w:rsidR="00DD1961" w:rsidTr="00F253D1">
        <w:trPr>
          <w:trHeight w:val="551"/>
        </w:trPr>
        <w:tc>
          <w:tcPr>
            <w:tcW w:w="648" w:type="dxa"/>
          </w:tcPr>
          <w:p w:rsidR="00DD1961" w:rsidRDefault="00DD1961" w:rsidP="00F253D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323" w:type="dxa"/>
          </w:tcPr>
          <w:p w:rsidR="00DD1961" w:rsidRDefault="00DD1961" w:rsidP="00F253D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1835" w:type="dxa"/>
          </w:tcPr>
          <w:p w:rsidR="00DD1961" w:rsidRDefault="00DD1961" w:rsidP="00F253D1">
            <w:pPr>
              <w:pStyle w:val="TableParagraph"/>
              <w:spacing w:line="275" w:lineRule="exact"/>
              <w:ind w:left="349" w:right="3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Weightage</w:t>
            </w:r>
            <w:proofErr w:type="spellEnd"/>
          </w:p>
        </w:tc>
        <w:tc>
          <w:tcPr>
            <w:tcW w:w="1315" w:type="dxa"/>
          </w:tcPr>
          <w:p w:rsidR="00DD1961" w:rsidRDefault="00DD1961" w:rsidP="00F253D1">
            <w:pPr>
              <w:pStyle w:val="TableParagraph"/>
              <w:spacing w:before="2" w:line="276" w:lineRule="exact"/>
              <w:ind w:left="336" w:right="30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No of Hours</w:t>
            </w:r>
          </w:p>
        </w:tc>
      </w:tr>
      <w:tr w:rsidR="00DD1961" w:rsidTr="00F253D1">
        <w:trPr>
          <w:trHeight w:val="274"/>
        </w:trPr>
        <w:tc>
          <w:tcPr>
            <w:tcW w:w="648" w:type="dxa"/>
          </w:tcPr>
          <w:p w:rsidR="00DD1961" w:rsidRDefault="00DD1961" w:rsidP="00F253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3" w:type="dxa"/>
          </w:tcPr>
          <w:p w:rsidR="00DD1961" w:rsidRDefault="00DD1961" w:rsidP="00F253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Industrial Dispute Act</w:t>
            </w:r>
          </w:p>
        </w:tc>
        <w:tc>
          <w:tcPr>
            <w:tcW w:w="1835" w:type="dxa"/>
          </w:tcPr>
          <w:p w:rsidR="00DD1961" w:rsidRDefault="00DD1961" w:rsidP="00F253D1">
            <w:pPr>
              <w:pStyle w:val="TableParagraph"/>
              <w:spacing w:line="254" w:lineRule="exact"/>
              <w:ind w:left="347" w:right="3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15" w:type="dxa"/>
          </w:tcPr>
          <w:p w:rsidR="00DD1961" w:rsidRDefault="00DD1961" w:rsidP="00F253D1">
            <w:pPr>
              <w:pStyle w:val="TableParagraph"/>
              <w:spacing w:line="254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D1961" w:rsidTr="00F253D1">
        <w:trPr>
          <w:trHeight w:val="275"/>
        </w:trPr>
        <w:tc>
          <w:tcPr>
            <w:tcW w:w="648" w:type="dxa"/>
          </w:tcPr>
          <w:p w:rsidR="00DD1961" w:rsidRDefault="00DD1961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3" w:type="dxa"/>
          </w:tcPr>
          <w:p w:rsidR="00DD1961" w:rsidRDefault="00DD1961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Factories Act</w:t>
            </w:r>
          </w:p>
        </w:tc>
        <w:tc>
          <w:tcPr>
            <w:tcW w:w="1835" w:type="dxa"/>
          </w:tcPr>
          <w:p w:rsidR="00DD1961" w:rsidRDefault="00DD1961" w:rsidP="00F253D1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15" w:type="dxa"/>
          </w:tcPr>
          <w:p w:rsidR="00DD1961" w:rsidRDefault="00DD1961" w:rsidP="00F253D1">
            <w:pPr>
              <w:pStyle w:val="TableParagraph"/>
              <w:spacing w:line="256" w:lineRule="exact"/>
              <w:ind w:left="0" w:right="58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1961" w:rsidTr="00F253D1">
        <w:trPr>
          <w:trHeight w:val="275"/>
        </w:trPr>
        <w:tc>
          <w:tcPr>
            <w:tcW w:w="648" w:type="dxa"/>
          </w:tcPr>
          <w:p w:rsidR="00DD1961" w:rsidRDefault="00DD1961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3" w:type="dxa"/>
          </w:tcPr>
          <w:p w:rsidR="00DD1961" w:rsidRDefault="00DD1961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ESIC Act</w:t>
            </w:r>
          </w:p>
        </w:tc>
        <w:tc>
          <w:tcPr>
            <w:tcW w:w="1835" w:type="dxa"/>
          </w:tcPr>
          <w:p w:rsidR="00DD1961" w:rsidRDefault="00DD1961" w:rsidP="00F253D1">
            <w:pPr>
              <w:pStyle w:val="TableParagraph"/>
              <w:spacing w:line="256" w:lineRule="exact"/>
              <w:ind w:left="348" w:right="3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15" w:type="dxa"/>
          </w:tcPr>
          <w:p w:rsidR="00DD1961" w:rsidRDefault="00DD1961" w:rsidP="00F253D1">
            <w:pPr>
              <w:pStyle w:val="TableParagraph"/>
              <w:spacing w:line="256" w:lineRule="exact"/>
              <w:ind w:left="0" w:right="5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D1961" w:rsidTr="00F253D1">
        <w:trPr>
          <w:trHeight w:val="275"/>
        </w:trPr>
        <w:tc>
          <w:tcPr>
            <w:tcW w:w="648" w:type="dxa"/>
          </w:tcPr>
          <w:p w:rsidR="00DD1961" w:rsidRDefault="00DD1961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3" w:type="dxa"/>
          </w:tcPr>
          <w:p w:rsidR="00DD1961" w:rsidRDefault="00DD1961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Workmen’s Compensation Act</w:t>
            </w:r>
          </w:p>
        </w:tc>
        <w:tc>
          <w:tcPr>
            <w:tcW w:w="1835" w:type="dxa"/>
          </w:tcPr>
          <w:p w:rsidR="00DD1961" w:rsidRDefault="00DD1961" w:rsidP="00F253D1">
            <w:pPr>
              <w:pStyle w:val="TableParagraph"/>
              <w:spacing w:line="256" w:lineRule="exact"/>
              <w:ind w:left="348" w:right="3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15" w:type="dxa"/>
          </w:tcPr>
          <w:p w:rsidR="00DD1961" w:rsidRDefault="00DD1961" w:rsidP="00F253D1">
            <w:pPr>
              <w:pStyle w:val="TableParagraph"/>
              <w:spacing w:line="256" w:lineRule="exact"/>
              <w:ind w:left="0" w:right="5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D1961" w:rsidTr="00F253D1">
        <w:trPr>
          <w:trHeight w:val="276"/>
        </w:trPr>
        <w:tc>
          <w:tcPr>
            <w:tcW w:w="648" w:type="dxa"/>
          </w:tcPr>
          <w:p w:rsidR="00DD1961" w:rsidRDefault="00DD1961" w:rsidP="00F253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23" w:type="dxa"/>
          </w:tcPr>
          <w:p w:rsidR="00DD1961" w:rsidRDefault="00DD1961" w:rsidP="00F253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P.F. and Miscellaneous Act</w:t>
            </w:r>
          </w:p>
        </w:tc>
        <w:tc>
          <w:tcPr>
            <w:tcW w:w="1835" w:type="dxa"/>
          </w:tcPr>
          <w:p w:rsidR="00DD1961" w:rsidRDefault="00DD1961" w:rsidP="00F253D1">
            <w:pPr>
              <w:pStyle w:val="TableParagraph"/>
              <w:spacing w:line="257" w:lineRule="exact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5" w:type="dxa"/>
          </w:tcPr>
          <w:p w:rsidR="00DD1961" w:rsidRDefault="00DD1961" w:rsidP="00F253D1">
            <w:pPr>
              <w:pStyle w:val="TableParagraph"/>
              <w:spacing w:line="257" w:lineRule="exact"/>
              <w:ind w:left="0" w:right="5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D1961" w:rsidTr="00F253D1">
        <w:trPr>
          <w:trHeight w:val="275"/>
        </w:trPr>
        <w:tc>
          <w:tcPr>
            <w:tcW w:w="648" w:type="dxa"/>
          </w:tcPr>
          <w:p w:rsidR="00DD1961" w:rsidRDefault="00DD1961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23" w:type="dxa"/>
          </w:tcPr>
          <w:p w:rsidR="00DD1961" w:rsidRDefault="00DD1961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Payment of Wages Act, 1936</w:t>
            </w:r>
          </w:p>
        </w:tc>
        <w:tc>
          <w:tcPr>
            <w:tcW w:w="1835" w:type="dxa"/>
          </w:tcPr>
          <w:p w:rsidR="00DD1961" w:rsidRDefault="00DD1961" w:rsidP="00F253D1">
            <w:pPr>
              <w:pStyle w:val="TableParagraph"/>
              <w:spacing w:line="256" w:lineRule="exact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5" w:type="dxa"/>
          </w:tcPr>
          <w:p w:rsidR="00DD1961" w:rsidRDefault="00DD1961" w:rsidP="00F253D1">
            <w:pPr>
              <w:pStyle w:val="TableParagraph"/>
              <w:spacing w:line="256" w:lineRule="exact"/>
              <w:ind w:left="0"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D1961" w:rsidRDefault="00DD1961" w:rsidP="00DD1961">
      <w:pPr>
        <w:pStyle w:val="BodyText"/>
        <w:rPr>
          <w:b/>
          <w:sz w:val="26"/>
        </w:rPr>
      </w:pPr>
    </w:p>
    <w:p w:rsidR="00DD1961" w:rsidRDefault="00DD1961" w:rsidP="00DD1961">
      <w:pPr>
        <w:pStyle w:val="BodyText"/>
        <w:spacing w:before="10"/>
        <w:rPr>
          <w:b/>
          <w:sz w:val="21"/>
        </w:rPr>
      </w:pPr>
    </w:p>
    <w:p w:rsidR="00DD1961" w:rsidRDefault="00DD1961" w:rsidP="00DD1961">
      <w:pPr>
        <w:ind w:left="720"/>
        <w:rPr>
          <w:b/>
          <w:sz w:val="24"/>
        </w:rPr>
      </w:pPr>
      <w:r>
        <w:rPr>
          <w:b/>
          <w:sz w:val="24"/>
        </w:rPr>
        <w:t>Text Book:</w:t>
      </w:r>
    </w:p>
    <w:p w:rsidR="00DD1961" w:rsidRDefault="00DD1961" w:rsidP="00DD1961">
      <w:pPr>
        <w:pStyle w:val="BodyText"/>
        <w:ind w:left="1080"/>
      </w:pPr>
      <w:r>
        <w:t xml:space="preserve">1. </w:t>
      </w:r>
      <w:proofErr w:type="spellStart"/>
      <w:r>
        <w:t>Labour</w:t>
      </w:r>
      <w:proofErr w:type="spellEnd"/>
      <w:r>
        <w:t xml:space="preserve"> Laws for Managers By: B.D. Singh 2</w:t>
      </w:r>
      <w:r>
        <w:rPr>
          <w:vertAlign w:val="superscript"/>
        </w:rPr>
        <w:t>nd</w:t>
      </w:r>
      <w:r>
        <w:t xml:space="preserve"> edition Excel Books</w:t>
      </w:r>
    </w:p>
    <w:p w:rsidR="00DD1961" w:rsidRDefault="00DD1961" w:rsidP="00DD1961">
      <w:pPr>
        <w:pStyle w:val="BodyText"/>
        <w:spacing w:before="8"/>
        <w:rPr>
          <w:sz w:val="27"/>
        </w:rPr>
      </w:pPr>
    </w:p>
    <w:p w:rsidR="00DD1961" w:rsidRDefault="00DD1961" w:rsidP="00DD1961">
      <w:pPr>
        <w:pStyle w:val="Heading2"/>
      </w:pPr>
      <w:r>
        <w:t>Reference Book:</w:t>
      </w:r>
    </w:p>
    <w:p w:rsidR="00DD1961" w:rsidRDefault="00DD1961" w:rsidP="00DD1961">
      <w:pPr>
        <w:pStyle w:val="ListParagraph"/>
        <w:numPr>
          <w:ilvl w:val="0"/>
          <w:numId w:val="3"/>
        </w:numPr>
        <w:tabs>
          <w:tab w:val="left" w:pos="1440"/>
        </w:tabs>
        <w:spacing w:line="276" w:lineRule="auto"/>
        <w:ind w:right="358"/>
        <w:rPr>
          <w:sz w:val="24"/>
        </w:rPr>
      </w:pPr>
      <w:r>
        <w:rPr>
          <w:sz w:val="24"/>
        </w:rPr>
        <w:t xml:space="preserve">Industrial Relations and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Laws by: S.C. </w:t>
      </w:r>
      <w:proofErr w:type="spellStart"/>
      <w:r>
        <w:rPr>
          <w:sz w:val="24"/>
        </w:rPr>
        <w:t>Srivastava</w:t>
      </w:r>
      <w:proofErr w:type="spellEnd"/>
      <w:r>
        <w:rPr>
          <w:sz w:val="24"/>
        </w:rPr>
        <w:t>, 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Revised Edition, </w:t>
      </w:r>
      <w:proofErr w:type="spellStart"/>
      <w:r>
        <w:rPr>
          <w:sz w:val="24"/>
        </w:rPr>
        <w:t>Vikas</w:t>
      </w:r>
      <w:proofErr w:type="spellEnd"/>
      <w:r>
        <w:rPr>
          <w:sz w:val="24"/>
        </w:rPr>
        <w:t xml:space="preserve"> Publishing House New</w:t>
      </w:r>
      <w:r>
        <w:rPr>
          <w:spacing w:val="-1"/>
          <w:sz w:val="24"/>
        </w:rPr>
        <w:t xml:space="preserve"> </w:t>
      </w:r>
      <w:r>
        <w:rPr>
          <w:sz w:val="24"/>
        </w:rPr>
        <w:t>Delhi.</w:t>
      </w:r>
    </w:p>
    <w:p w:rsidR="00DD1961" w:rsidRDefault="00DD1961" w:rsidP="00DD1961">
      <w:pPr>
        <w:pStyle w:val="ListParagraph"/>
        <w:numPr>
          <w:ilvl w:val="0"/>
          <w:numId w:val="3"/>
        </w:numPr>
        <w:tabs>
          <w:tab w:val="left" w:pos="1440"/>
        </w:tabs>
        <w:spacing w:line="276" w:lineRule="auto"/>
        <w:ind w:right="359"/>
        <w:rPr>
          <w:sz w:val="24"/>
        </w:rPr>
      </w:pPr>
      <w:r>
        <w:rPr>
          <w:sz w:val="24"/>
        </w:rPr>
        <w:t xml:space="preserve">Industrial Law: By: K.C. </w:t>
      </w:r>
      <w:proofErr w:type="spellStart"/>
      <w:r>
        <w:rPr>
          <w:sz w:val="24"/>
        </w:rPr>
        <w:t>Garg</w:t>
      </w:r>
      <w:proofErr w:type="spellEnd"/>
      <w:r>
        <w:rPr>
          <w:sz w:val="24"/>
        </w:rPr>
        <w:t xml:space="preserve">, V.K. </w:t>
      </w:r>
      <w:proofErr w:type="spellStart"/>
      <w:r>
        <w:rPr>
          <w:sz w:val="24"/>
        </w:rPr>
        <w:t>Sareen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Mukesh</w:t>
      </w:r>
      <w:proofErr w:type="spellEnd"/>
      <w:r>
        <w:rPr>
          <w:sz w:val="24"/>
        </w:rPr>
        <w:t xml:space="preserve"> Sharma, R. C. </w:t>
      </w:r>
      <w:proofErr w:type="spellStart"/>
      <w:r>
        <w:rPr>
          <w:sz w:val="24"/>
        </w:rPr>
        <w:t>Chawala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Klayani</w:t>
      </w:r>
      <w:proofErr w:type="spellEnd"/>
      <w:r>
        <w:rPr>
          <w:sz w:val="24"/>
        </w:rPr>
        <w:t xml:space="preserve"> Publishers,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Ludhiyana</w:t>
      </w:r>
      <w:proofErr w:type="spellEnd"/>
      <w:proofErr w:type="gramEnd"/>
      <w:r>
        <w:rPr>
          <w:sz w:val="24"/>
        </w:rPr>
        <w:t>.</w:t>
      </w:r>
    </w:p>
    <w:p w:rsidR="00DD1961" w:rsidRDefault="00DD1961" w:rsidP="00DD1961">
      <w:pPr>
        <w:pStyle w:val="ListParagraph"/>
        <w:numPr>
          <w:ilvl w:val="0"/>
          <w:numId w:val="3"/>
        </w:numPr>
        <w:tabs>
          <w:tab w:val="left" w:pos="1440"/>
        </w:tabs>
        <w:spacing w:before="199"/>
        <w:rPr>
          <w:sz w:val="24"/>
        </w:rPr>
      </w:pP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Laws By: H.L Kumar Universal Laws Publishing Co. Pvt. Ltd, New</w:t>
      </w:r>
      <w:r>
        <w:rPr>
          <w:spacing w:val="-10"/>
          <w:sz w:val="24"/>
        </w:rPr>
        <w:t xml:space="preserve"> </w:t>
      </w:r>
      <w:r>
        <w:rPr>
          <w:sz w:val="24"/>
        </w:rPr>
        <w:t>Delhi</w:t>
      </w:r>
    </w:p>
    <w:p w:rsidR="00DD1961" w:rsidRDefault="00DD1961" w:rsidP="00DD1961">
      <w:pPr>
        <w:pStyle w:val="BodyText"/>
        <w:spacing w:before="1"/>
        <w:rPr>
          <w:sz w:val="21"/>
        </w:rPr>
      </w:pPr>
    </w:p>
    <w:p w:rsidR="00DD1961" w:rsidRDefault="00DD1961" w:rsidP="00DD1961">
      <w:pPr>
        <w:pStyle w:val="ListParagraph"/>
        <w:numPr>
          <w:ilvl w:val="0"/>
          <w:numId w:val="3"/>
        </w:numPr>
        <w:tabs>
          <w:tab w:val="left" w:pos="1440"/>
        </w:tabs>
        <w:spacing w:line="276" w:lineRule="auto"/>
        <w:ind w:right="357"/>
        <w:rPr>
          <w:sz w:val="24"/>
        </w:rPr>
      </w:pPr>
      <w:r>
        <w:rPr>
          <w:sz w:val="24"/>
        </w:rPr>
        <w:t xml:space="preserve">Legal Aspects of </w:t>
      </w:r>
      <w:proofErr w:type="gramStart"/>
      <w:r>
        <w:rPr>
          <w:sz w:val="24"/>
        </w:rPr>
        <w:t>Business ,</w:t>
      </w:r>
      <w:proofErr w:type="gramEnd"/>
      <w:r>
        <w:rPr>
          <w:sz w:val="24"/>
        </w:rPr>
        <w:t xml:space="preserve"> Text, Jurisprudence, and Cases, By: Daniel </w:t>
      </w:r>
      <w:r>
        <w:rPr>
          <w:spacing w:val="-2"/>
          <w:sz w:val="24"/>
        </w:rPr>
        <w:t xml:space="preserve">Albuquerque, </w:t>
      </w:r>
      <w:r>
        <w:rPr>
          <w:sz w:val="24"/>
        </w:rPr>
        <w:t>Oxford University Press, New</w:t>
      </w:r>
      <w:r>
        <w:rPr>
          <w:spacing w:val="1"/>
          <w:sz w:val="24"/>
        </w:rPr>
        <w:t xml:space="preserve"> </w:t>
      </w:r>
      <w:r>
        <w:rPr>
          <w:sz w:val="24"/>
        </w:rPr>
        <w:t>Delhi.</w:t>
      </w:r>
    </w:p>
    <w:p w:rsidR="00DD1961" w:rsidRDefault="00DD1961" w:rsidP="00DD1961">
      <w:pPr>
        <w:spacing w:line="276" w:lineRule="auto"/>
        <w:rPr>
          <w:sz w:val="24"/>
        </w:rPr>
        <w:sectPr w:rsidR="00DD1961">
          <w:pgSz w:w="12240" w:h="15840"/>
          <w:pgMar w:top="1020" w:right="720" w:bottom="1520" w:left="1080" w:header="729" w:footer="1280" w:gutter="0"/>
          <w:cols w:space="720"/>
        </w:sectPr>
      </w:pPr>
    </w:p>
    <w:p w:rsidR="00DD1961" w:rsidRDefault="00DD1961" w:rsidP="00DD1961">
      <w:pPr>
        <w:pStyle w:val="BodyText"/>
        <w:spacing w:before="4"/>
        <w:rPr>
          <w:sz w:val="11"/>
        </w:rPr>
      </w:pPr>
    </w:p>
    <w:p w:rsidR="00DD1961" w:rsidRDefault="00DD1961" w:rsidP="00DD1961">
      <w:pPr>
        <w:pStyle w:val="Heading2"/>
        <w:spacing w:before="90"/>
      </w:pPr>
      <w:r>
        <w:t>Topic for Assignments:</w:t>
      </w:r>
    </w:p>
    <w:p w:rsidR="00DD1961" w:rsidRDefault="00DD1961" w:rsidP="00DD1961">
      <w:pPr>
        <w:pStyle w:val="ListParagraph"/>
        <w:numPr>
          <w:ilvl w:val="0"/>
          <w:numId w:val="2"/>
        </w:numPr>
        <w:tabs>
          <w:tab w:val="left" w:pos="1440"/>
        </w:tabs>
        <w:spacing w:line="276" w:lineRule="auto"/>
        <w:ind w:right="730"/>
        <w:rPr>
          <w:sz w:val="24"/>
        </w:rPr>
      </w:pPr>
      <w:r>
        <w:rPr>
          <w:sz w:val="24"/>
        </w:rPr>
        <w:t>Discuss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Factories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definition</w:t>
      </w:r>
      <w:r>
        <w:rPr>
          <w:spacing w:val="-5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and various case laws.</w:t>
      </w:r>
    </w:p>
    <w:p w:rsidR="00DD1961" w:rsidRDefault="00DD1961" w:rsidP="00DD1961">
      <w:pPr>
        <w:pStyle w:val="ListParagraph"/>
        <w:numPr>
          <w:ilvl w:val="0"/>
          <w:numId w:val="2"/>
        </w:numPr>
        <w:tabs>
          <w:tab w:val="left" w:pos="1440"/>
        </w:tabs>
        <w:spacing w:line="276" w:lineRule="auto"/>
        <w:ind w:right="624"/>
        <w:rPr>
          <w:sz w:val="24"/>
        </w:rPr>
      </w:pPr>
      <w:r>
        <w:rPr>
          <w:sz w:val="24"/>
        </w:rPr>
        <w:t>Discuss the meaning of Industrial Dispute and explain how it is different as to Personal Dispute.</w:t>
      </w:r>
    </w:p>
    <w:p w:rsidR="00DD1961" w:rsidRDefault="00DD1961" w:rsidP="00DD1961">
      <w:pPr>
        <w:pStyle w:val="ListParagraph"/>
        <w:numPr>
          <w:ilvl w:val="0"/>
          <w:numId w:val="2"/>
        </w:numPr>
        <w:tabs>
          <w:tab w:val="left" w:pos="1440"/>
        </w:tabs>
        <w:spacing w:line="276" w:lineRule="auto"/>
        <w:ind w:right="678"/>
        <w:rPr>
          <w:sz w:val="24"/>
        </w:rPr>
      </w:pPr>
      <w:r>
        <w:rPr>
          <w:sz w:val="24"/>
        </w:rPr>
        <w:t xml:space="preserve">Discuss the Present Scheme of PF by government and Semi-Government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and PF scheme offered by Private Insurance</w:t>
      </w:r>
      <w:r>
        <w:rPr>
          <w:spacing w:val="-5"/>
          <w:sz w:val="24"/>
        </w:rPr>
        <w:t xml:space="preserve"> </w:t>
      </w:r>
      <w:r>
        <w:rPr>
          <w:sz w:val="24"/>
        </w:rPr>
        <w:t>Company</w:t>
      </w:r>
    </w:p>
    <w:p w:rsidR="00DD1961" w:rsidRDefault="00DD1961" w:rsidP="00DD1961">
      <w:pPr>
        <w:pStyle w:val="ListParagraph"/>
        <w:numPr>
          <w:ilvl w:val="0"/>
          <w:numId w:val="2"/>
        </w:numPr>
        <w:tabs>
          <w:tab w:val="left" w:pos="1440"/>
        </w:tabs>
        <w:spacing w:line="276" w:lineRule="auto"/>
        <w:ind w:right="868"/>
        <w:rPr>
          <w:sz w:val="24"/>
        </w:rPr>
      </w:pPr>
      <w:r>
        <w:rPr>
          <w:sz w:val="24"/>
        </w:rPr>
        <w:t xml:space="preserve">Prepare a chart showing procedure under Factories act for getting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and annual renewal of license.</w:t>
      </w:r>
    </w:p>
    <w:p w:rsidR="00DD1961" w:rsidRDefault="00DD1961" w:rsidP="00DD1961">
      <w:pPr>
        <w:pStyle w:val="ListParagraph"/>
        <w:numPr>
          <w:ilvl w:val="0"/>
          <w:numId w:val="2"/>
        </w:numPr>
        <w:tabs>
          <w:tab w:val="left" w:pos="1440"/>
        </w:tabs>
        <w:spacing w:line="276" w:lineRule="auto"/>
        <w:ind w:right="908"/>
        <w:rPr>
          <w:sz w:val="24"/>
        </w:rPr>
      </w:pPr>
      <w:r>
        <w:rPr>
          <w:sz w:val="24"/>
        </w:rPr>
        <w:t>Differentiate between the ESIC and Workmen’s Compensation act with reference</w:t>
      </w:r>
      <w:r>
        <w:rPr>
          <w:spacing w:val="-20"/>
          <w:sz w:val="24"/>
        </w:rPr>
        <w:t xml:space="preserve"> </w:t>
      </w:r>
      <w:r>
        <w:rPr>
          <w:sz w:val="24"/>
        </w:rPr>
        <w:t>to Benefit to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</w:p>
    <w:p w:rsidR="00DD1961" w:rsidRDefault="00DD1961" w:rsidP="00DD1961">
      <w:pPr>
        <w:pStyle w:val="BodyText"/>
      </w:pPr>
    </w:p>
    <w:p w:rsidR="00DD1961" w:rsidRDefault="00DD1961" w:rsidP="00DD1961">
      <w:pPr>
        <w:pStyle w:val="Heading2"/>
      </w:pPr>
      <w:r>
        <w:t>Topics for Seminar/Presentation:</w:t>
      </w:r>
    </w:p>
    <w:p w:rsidR="00DD1961" w:rsidRDefault="00DD1961" w:rsidP="00DD1961">
      <w:pPr>
        <w:pStyle w:val="ListParagraph"/>
        <w:numPr>
          <w:ilvl w:val="0"/>
          <w:numId w:val="1"/>
        </w:numPr>
        <w:tabs>
          <w:tab w:val="left" w:pos="1440"/>
        </w:tabs>
        <w:rPr>
          <w:sz w:val="24"/>
        </w:rPr>
      </w:pPr>
      <w:r>
        <w:rPr>
          <w:sz w:val="24"/>
        </w:rPr>
        <w:t xml:space="preserve">Discuss the Case of </w:t>
      </w:r>
      <w:proofErr w:type="spellStart"/>
      <w:r>
        <w:rPr>
          <w:sz w:val="24"/>
        </w:rPr>
        <w:t>Maruti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Udyog</w:t>
      </w:r>
      <w:proofErr w:type="spellEnd"/>
      <w:r>
        <w:rPr>
          <w:sz w:val="24"/>
        </w:rPr>
        <w:t xml:space="preserve"> Ltd and </w:t>
      </w:r>
      <w:proofErr w:type="spellStart"/>
      <w:r>
        <w:rPr>
          <w:sz w:val="24"/>
        </w:rPr>
        <w:t>Labour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Union.</w:t>
      </w:r>
    </w:p>
    <w:p w:rsidR="00DD1961" w:rsidRDefault="00DD1961" w:rsidP="00DD1961">
      <w:pPr>
        <w:pStyle w:val="ListParagraph"/>
        <w:numPr>
          <w:ilvl w:val="0"/>
          <w:numId w:val="1"/>
        </w:numPr>
        <w:tabs>
          <w:tab w:val="left" w:pos="1440"/>
        </w:tabs>
        <w:spacing w:before="41" w:line="276" w:lineRule="auto"/>
        <w:ind w:right="357"/>
        <w:rPr>
          <w:sz w:val="24"/>
        </w:rPr>
      </w:pPr>
      <w:r>
        <w:rPr>
          <w:sz w:val="24"/>
        </w:rPr>
        <w:t xml:space="preserve">Discuss recent case of Strike and its resolution system adopted by respective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.</w:t>
      </w:r>
    </w:p>
    <w:p w:rsidR="00DD1961" w:rsidRDefault="00DD1961" w:rsidP="00DD1961">
      <w:pPr>
        <w:pStyle w:val="ListParagraph"/>
        <w:numPr>
          <w:ilvl w:val="0"/>
          <w:numId w:val="1"/>
        </w:numPr>
        <w:tabs>
          <w:tab w:val="left" w:pos="1440"/>
        </w:tabs>
        <w:spacing w:line="276" w:lineRule="auto"/>
        <w:ind w:right="357"/>
        <w:rPr>
          <w:sz w:val="24"/>
        </w:rPr>
      </w:pPr>
      <w:r>
        <w:rPr>
          <w:sz w:val="24"/>
        </w:rPr>
        <w:t>Discuss the Liability of Employer in different industries for different situations. (Accident, Death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</w:p>
    <w:p w:rsidR="00DD1961" w:rsidRDefault="00DD1961" w:rsidP="00DD1961">
      <w:pPr>
        <w:pStyle w:val="ListParagraph"/>
        <w:numPr>
          <w:ilvl w:val="0"/>
          <w:numId w:val="1"/>
        </w:numPr>
        <w:tabs>
          <w:tab w:val="left" w:pos="1440"/>
        </w:tabs>
      </w:pPr>
      <w:r>
        <w:rPr>
          <w:sz w:val="24"/>
        </w:rPr>
        <w:t>Discuss the procedure of claim with ESIC for Accidental</w:t>
      </w:r>
      <w:r>
        <w:rPr>
          <w:spacing w:val="-10"/>
          <w:sz w:val="24"/>
        </w:rPr>
        <w:t xml:space="preserve"> </w:t>
      </w:r>
      <w:r>
        <w:rPr>
          <w:sz w:val="24"/>
        </w:rPr>
        <w:t>Death</w:t>
      </w:r>
      <w:r>
        <w:t>.</w:t>
      </w:r>
    </w:p>
    <w:p w:rsidR="00CC77D2" w:rsidRDefault="00DD1961" w:rsidP="00DD1961">
      <w:r>
        <w:t>Discuss different schemes under P.F. act.</w:t>
      </w:r>
    </w:p>
    <w:sectPr w:rsidR="00CC77D2" w:rsidSect="00CC7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5C2"/>
    <w:multiLevelType w:val="hybridMultilevel"/>
    <w:tmpl w:val="C5887782"/>
    <w:lvl w:ilvl="0" w:tplc="44B67230">
      <w:start w:val="1"/>
      <w:numFmt w:val="decimal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n-US" w:eastAsia="en-US" w:bidi="ar-SA"/>
      </w:rPr>
    </w:lvl>
    <w:lvl w:ilvl="1" w:tplc="23888546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2" w:tplc="4C42F14E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E9C481A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9618924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 w:tplc="E49CCB7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DE342DFE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C6403B1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65FC11BC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1">
    <w:nsid w:val="1FC86DBA"/>
    <w:multiLevelType w:val="hybridMultilevel"/>
    <w:tmpl w:val="A8AEC252"/>
    <w:lvl w:ilvl="0" w:tplc="57525392">
      <w:start w:val="1"/>
      <w:numFmt w:val="decimal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672A4048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2" w:tplc="7202415E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0B9CD69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C9D8F686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 w:tplc="2A205B9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A2B0C260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8B48EA0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B67E94C0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2">
    <w:nsid w:val="476B0AD6"/>
    <w:multiLevelType w:val="hybridMultilevel"/>
    <w:tmpl w:val="BD6EDC3E"/>
    <w:lvl w:ilvl="0" w:tplc="B394C5B4">
      <w:start w:val="1"/>
      <w:numFmt w:val="decimal"/>
      <w:lvlText w:val="%1."/>
      <w:lvlJc w:val="left"/>
      <w:pPr>
        <w:ind w:left="1440" w:hanging="360"/>
        <w:jc w:val="left"/>
      </w:pPr>
      <w:rPr>
        <w:rFonts w:hint="default"/>
        <w:spacing w:val="-2"/>
        <w:w w:val="99"/>
        <w:lang w:val="en-US" w:eastAsia="en-US" w:bidi="ar-SA"/>
      </w:rPr>
    </w:lvl>
    <w:lvl w:ilvl="1" w:tplc="1CFAF670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2" w:tplc="BC023B0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2E24A8A4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053C1322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 w:tplc="4E581EFC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329C088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1FFA405C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697C5A4A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1961"/>
    <w:rsid w:val="000E0454"/>
    <w:rsid w:val="00117425"/>
    <w:rsid w:val="00322CD4"/>
    <w:rsid w:val="004B10DD"/>
    <w:rsid w:val="008C078B"/>
    <w:rsid w:val="009F6177"/>
    <w:rsid w:val="00CC77D2"/>
    <w:rsid w:val="00DD1961"/>
    <w:rsid w:val="00DF2D78"/>
    <w:rsid w:val="00E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19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DD1961"/>
    <w:pPr>
      <w:ind w:left="3637" w:right="327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D1961"/>
    <w:pPr>
      <w:ind w:left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1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DD1961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DD1961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D196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196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DD1961"/>
    <w:pPr>
      <w:ind w:left="1440" w:hanging="360"/>
    </w:pPr>
  </w:style>
  <w:style w:type="paragraph" w:customStyle="1" w:styleId="TableParagraph">
    <w:name w:val="Table Paragraph"/>
    <w:basedOn w:val="Normal"/>
    <w:uiPriority w:val="1"/>
    <w:qFormat/>
    <w:rsid w:val="00DD196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2021-06-11T09:21:00Z</dcterms:created>
  <dcterms:modified xsi:type="dcterms:W3CDTF">2021-06-11T09:21:00Z</dcterms:modified>
</cp:coreProperties>
</file>